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79.png" ContentType="image/png"/>
  <Override PartName="/word/media/rId116.png" ContentType="image/png"/>
  <Override PartName="/word/media/rId104.png" ContentType="image/png"/>
  <Override PartName="/word/media/rId32.png" ContentType="image/png"/>
  <Override PartName="/word/media/rId91.png" ContentType="image/png"/>
  <Override PartName="/word/media/rId94.png" ContentType="image/png"/>
  <Override PartName="/word/media/rId88.png" ContentType="image/png"/>
  <Override PartName="/word/media/rId85.png" ContentType="image/png"/>
  <Override PartName="/word/media/rId82.png" ContentType="image/png"/>
  <Override PartName="/word/media/rId39.png" ContentType="image/png"/>
  <Override PartName="/word/media/rId42.png" ContentType="image/png"/>
  <Override PartName="/word/media/rId120.png" ContentType="image/png"/>
  <Override PartName="/word/media/rId25.png" ContentType="image/png"/>
  <Override PartName="/word/media/rId97.png" ContentType="image/png"/>
  <Override PartName="/word/media/rId73.png" ContentType="image/png"/>
  <Override PartName="/word/media/rId22.png" ContentType="image/png"/>
  <Override PartName="/word/media/rId100.png" ContentType="image/png"/>
  <Override PartName="/word/media/rId76.png" ContentType="image/png"/>
  <Override PartName="/word/media/rId109.png" ContentType="image/png"/>
  <Override PartName="/word/media/rId46.png" ContentType="image/png"/>
  <Override PartName="/word/media/rId28.png" ContentType="image/png"/>
  <Override PartName="/word/media/rId64.png" ContentType="image/png"/>
  <Override PartName="/word/media/rId35.png" ContentType="image/png"/>
  <Override PartName="/word/media/rId54.png" ContentType="image/png"/>
  <Override PartName="/word/media/rId50.png" ContentType="image/png"/>
  <Override PartName="/word/media/rId70.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3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21" w:name="assessment-model"/>
    <w:p>
      <w:pPr>
        <w:pStyle w:val="Heading2"/>
      </w:pPr>
      <w:r>
        <w:t xml:space="preserve">Assessment model</w:t>
      </w:r>
    </w:p>
    <w:p>
      <w:pPr>
        <w:pStyle w:val="FirstParagraph"/>
      </w:pPr>
      <w:r>
        <w:t xml:space="preserve">The assessment of the anchovy in ICES division 9a, southern component was performed in Stock Synthesis software, version 3.30.22.1</w:t>
      </w:r>
      <w:r>
        <w:t xml:space="preserve"> </w:t>
      </w:r>
      <w:r>
        <w:t xml:space="preserve">(SS3, Methot</w:t>
      </w:r>
      <w:r>
        <w:t xml:space="preserve"> </w:t>
      </w:r>
      <w:r>
        <w:rPr>
          <w:iCs/>
          <w:i/>
        </w:rPr>
        <w:t xml:space="preserve">et al.</w:t>
      </w:r>
      <w:r>
        <w:t xml:space="preserve">, 2024)</w:t>
      </w:r>
      <w:r>
        <w:t xml:space="preserve"> </w:t>
      </w:r>
      <w:r>
        <w:t xml:space="preserve">under the Linux platform. SS3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differentiation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 assessment model is a one area, annual with data in quarters, age-based model where the population is comprised of 3+ age-classes (with age 3 representing a plus group) with sexes combined (male and females are modeled together).</w:t>
      </w:r>
    </w:p>
    <w:bookmarkEnd w:id="21"/>
    <w:bookmarkStart w:id="69" w:name="data"/>
    <w:p>
      <w:pPr>
        <w:pStyle w:val="Heading2"/>
      </w:pPr>
      <w:r>
        <w:t xml:space="preserve">Data</w:t>
      </w:r>
    </w:p>
    <w:p>
      <w:pPr>
        <w:pStyle w:val="FirstParagraph"/>
      </w:pPr>
      <w:r>
        <w:t xml:space="preserve">Input data include total catch (in biomass), age composition of the catch (in proportion), abundance (in biomass) and age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3" name="Picture"/>
            <a:graphic>
              <a:graphicData uri="http://schemas.openxmlformats.org/drawingml/2006/picture">
                <pic:pic>
                  <pic:nvPicPr>
                    <pic:cNvPr descr="report/run/S1/fig_input_data.png" id="24" name="Picture"/>
                    <pic:cNvPicPr>
                      <a:picLocks noChangeArrowheads="1" noChangeAspect="1"/>
                    </pic:cNvPicPr>
                  </pic:nvPicPr>
                  <pic:blipFill>
                    <a:blip r:embed="rId22"/>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063b8461-004a-44ab-ba1a-d7df053f000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63b8461-004a-44ab-ba1a-d7df053f0004"/>
      <w:r>
        <w:t xml:space="preserve">: ane.27.9a stock. Summarises data input by year, where circle area is relative within a data type. Circles are proportional to total catch for catches, to precision for indices and to total sample size for age compositions.</w:t>
      </w:r>
    </w:p>
    <w:bookmarkStart w:id="31" w:name="catches"/>
    <w:p>
      <w:pPr>
        <w:pStyle w:val="Heading3"/>
      </w:pPr>
      <w:r>
        <w:t xml:space="preserve">Catches</w:t>
      </w:r>
    </w:p>
    <w:p>
      <w:pPr>
        <w:pStyle w:val="FirstParagraph"/>
      </w:pPr>
      <w:r>
        <w:t xml:space="preserve">Anchovy catches in the Gulf of Cádiz exhibit seasonality, with 40.61% concentrated in the second quarter (Q2), averaging 2120.26 tons historically, followed by the third quarter (Q3) with 29.60% (1545.23 tons), the first quarter (Q1) with 19.39% (1012.42 tons), and the fourth quarter (Q4) with 10.39% (542.61 tons). In 2023, first-quarter catches were 7.84% lower than the historical average, while second, third, and fourth-quarter catches increased by 71.03%, 48.06%, and 14.70%, respectively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6" name="Picture"/>
            <a:graphic>
              <a:graphicData uri="http://schemas.openxmlformats.org/drawingml/2006/picture">
                <pic:pic>
                  <pic:nvPicPr>
                    <pic:cNvPr descr="report/run/S1/fig_catches.png" id="27" name="Picture"/>
                    <pic:cNvPicPr>
                      <a:picLocks noChangeArrowheads="1" noChangeAspect="1"/>
                    </pic:cNvPicPr>
                  </pic:nvPicPr>
                  <pic:blipFill>
                    <a:blip r:embed="rId25"/>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2cc081ee-d292-48e9-bf3e-c84cbbb3b43b"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cc081ee-d292-48e9-bf3e-c84cbbb3b43b"/>
      <w:r>
        <w:t xml:space="preserve">: ane.27.9a stock. Quarterly Catch.</w:t>
      </w:r>
    </w:p>
    <w:p>
      <w:r>
        <w:br w:type="page"/>
      </w:r>
    </w:p>
    <w:p>
      <w:pPr>
        <w:pStyle w:val="TextBody"/>
      </w:pPr>
      <w:r>
        <w:t xml:space="preserve">Table</w:t>
      </w:r>
      <w:r>
        <w:t xml:space="preserve"> </w:t>
      </w:r>
      <w:bookmarkStart w:id="3485f38d-fcc9-47b7-b39b-b7ef60bc5470"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85f38d-fcc9-47b7-b39b-b7ef60bc5470"/>
      <w:r>
        <w:t xml:space="preserve">: ane.27.9a stock. Quarterly Catch.</w:t>
      </w:r>
    </w:p>
    <w:p>
      <w:pPr>
        <w:pStyle w:val="TextBody"/>
      </w:pPr>
      <w:r>
        <w:drawing>
          <wp:inline>
            <wp:extent cx="3404876" cy="7797672"/>
            <wp:effectExtent b="0" l="0" r="0" t="0"/>
            <wp:docPr descr="" title="" id="29" name="Picture"/>
            <a:graphic>
              <a:graphicData uri="http://schemas.openxmlformats.org/drawingml/2006/picture">
                <pic:pic>
                  <pic:nvPicPr>
                    <pic:cNvPr descr="report/run/S1/tb_catches.png" id="30" name="Picture"/>
                    <pic:cNvPicPr>
                      <a:picLocks noChangeArrowheads="1" noChangeAspect="1"/>
                    </pic:cNvPicPr>
                  </pic:nvPicPr>
                  <pic:blipFill>
                    <a:blip r:embed="rId28"/>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1"/>
    <w:bookmarkStart w:id="38" w:name="abundance-indices"/>
    <w:p>
      <w:pPr>
        <w:pStyle w:val="Heading3"/>
      </w:pPr>
      <w:r>
        <w:t xml:space="preserve">Abundance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a high variability in abundance over time with changes, with periods of increase followed by declines in the later years of each series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33" name="Picture"/>
            <a:graphic>
              <a:graphicData uri="http://schemas.openxmlformats.org/drawingml/2006/picture">
                <pic:pic>
                  <pic:nvPicPr>
                    <pic:cNvPr descr="report/run/S1//fig_indiceBiomass.png" id="34" name="Picture"/>
                    <pic:cNvPicPr>
                      <a:picLocks noChangeArrowheads="1" noChangeAspect="1"/>
                    </pic:cNvPicPr>
                  </pic:nvPicPr>
                  <pic:blipFill>
                    <a:blip r:embed="rId32"/>
                    <a:stretch>
                      <a:fillRect/>
                    </a:stretch>
                  </pic:blipFill>
                  <pic:spPr bwMode="auto">
                    <a:xfrm>
                      <a:off x="0" y="0"/>
                      <a:ext cx="5359400" cy="3349624"/>
                    </a:xfrm>
                    <a:prstGeom prst="rect">
                      <a:avLst/>
                    </a:prstGeom>
                    <a:noFill/>
                    <a:ln w="9525">
                      <a:noFill/>
                      <a:headEnd/>
                      <a:tailEnd/>
                    </a:ln>
                  </pic:spPr>
                </pic:pic>
              </a:graphicData>
            </a:graphic>
          </wp:inline>
        </w:drawing>
      </w:r>
    </w:p>
    <w:p>
      <w:pPr>
        <w:pStyle w:val="TextBody"/>
      </w:pPr>
      <w:r>
        <w:t xml:space="preserve">Figure</w:t>
      </w:r>
      <w:r>
        <w:t xml:space="preserve"> </w:t>
      </w:r>
      <w:bookmarkStart w:id="8ab8b60c-5cb1-4e8c-b8e7-9cabdf0d2269"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b8b60c-5cb1-4e8c-b8e7-9cabdf0d2269"/>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surveys.</w:t>
      </w:r>
    </w:p>
    <w:p>
      <w:r>
        <w:br w:type="page"/>
      </w:r>
    </w:p>
    <w:p>
      <w:pPr>
        <w:pStyle w:val="TextBody"/>
      </w:pPr>
      <w:r>
        <w:t xml:space="preserve">Table</w:t>
      </w:r>
      <w:r>
        <w:t xml:space="preserve"> </w:t>
      </w:r>
      <w:bookmarkStart w:id="4ab3c5f8-1246-4e35-8187-c84bac05fee4"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ab3c5f8-1246-4e35-8187-c84bac05fee4"/>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6" name="Picture"/>
            <a:graphic>
              <a:graphicData uri="http://schemas.openxmlformats.org/drawingml/2006/picture">
                <pic:pic>
                  <pic:nvPicPr>
                    <pic:cNvPr descr="report/run/S1/tb_index.png" id="37" name="Picture"/>
                    <pic:cNvPicPr>
                      <a:picLocks noChangeArrowheads="1" noChangeAspect="1"/>
                    </pic:cNvPicPr>
                  </pic:nvPicPr>
                  <pic:blipFill>
                    <a:blip r:embed="rId35"/>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8"/>
    <w:bookmarkStart w:id="45" w:name="age-composition"/>
    <w:p>
      <w:pPr>
        <w:pStyle w:val="Heading3"/>
      </w:pPr>
      <w:r>
        <w:t xml:space="preserve">Age composition</w:t>
      </w:r>
    </w:p>
    <w:p>
      <w:pPr>
        <w:pStyle w:val="FirstParagraph"/>
      </w:pPr>
      <w:r>
        <w:t xml:space="preserve">In the model, the age proportion of the commercial fleet (</w:t>
      </w:r>
      <w:r>
        <w:rPr>
          <w:iCs/>
          <w:i/>
        </w:rPr>
        <w:t xml:space="preserve">SEINE</w:t>
      </w:r>
      <w:r>
        <w:t xml:space="preserve">) by quarter and year (1989 to 2023) is used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It can be observed, that age-0 proportion compared to other ages has been increasing in the last years while age-1 predominates in Q1 and Q2, with a constant proportion over time. Age-0 is not recorded in Q1 and Q2 by convention. In Q3 and Q4, the proportion of age-1 individuals decreases as the proportion of age-0 increases. Additionaly, ages 2 and 3 exhibit lower and variable proportions across all quarters over the years, without a defined pattern of change.</w:t>
      </w:r>
    </w:p>
    <w:p>
      <w:pPr>
        <w:pStyle w:val="TextBody"/>
      </w:pPr>
      <w:r>
        <w:drawing>
          <wp:inline>
            <wp:extent cx="5359400" cy="3828142"/>
            <wp:effectExtent b="0" l="0" r="0" t="0"/>
            <wp:docPr descr="" title="" id="40" name="Picture"/>
            <a:graphic>
              <a:graphicData uri="http://schemas.openxmlformats.org/drawingml/2006/picture">
                <pic:pic>
                  <pic:nvPicPr>
                    <pic:cNvPr descr="report/run/S1/fig_agecomp_by_quartersSeine.png" id="41" name="Picture"/>
                    <pic:cNvPicPr>
                      <a:picLocks noChangeArrowheads="1" noChangeAspect="1"/>
                    </pic:cNvPicPr>
                  </pic:nvPicPr>
                  <pic:blipFill>
                    <a:blip r:embed="rId39"/>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38416d9e-3b30-4ce0-8d01-6af57fa2d7a9"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8416d9e-3b30-4ce0-8d01-6af57fa2d7a9"/>
      <w:r>
        <w:t xml:space="preserve">: ane.27.9a stock. Age proportion of the commercial fleet (</w:t>
      </w:r>
      <w:r>
        <w:rPr>
          <w:iCs/>
          <w:i/>
        </w:rPr>
        <w:t xml:space="preserve">SEINE</w:t>
      </w:r>
      <w:r>
        <w:t xml:space="preserve">) by quarter (1989 to 2023).</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yearly age proportions from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that were used as input for the model. It can be observed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by convention.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w:t>
      </w:r>
    </w:p>
    <w:p>
      <w:pPr>
        <w:pStyle w:val="TextBody"/>
      </w:pPr>
      <w:r>
        <w:drawing>
          <wp:inline>
            <wp:extent cx="4587290" cy="4587290"/>
            <wp:effectExtent b="0" l="0" r="0" t="0"/>
            <wp:docPr descr="" title="" id="43" name="Picture"/>
            <a:graphic>
              <a:graphicData uri="http://schemas.openxmlformats.org/drawingml/2006/picture">
                <pic:pic>
                  <pic:nvPicPr>
                    <pic:cNvPr descr="report/run/S1/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f6c244ee-c1f8-417a-a5fa-d5ad7846582a"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6c244ee-c1f8-417a-a5fa-d5ad7846582a"/>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Start w:id="49"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w:t>
      </w:r>
      <w:r>
        <w:t xml:space="preserve"> </w:t>
      </w:r>
      <w:r>
        <w:rPr>
          <w:bCs/>
          <w:b/>
        </w:rPr>
        <w:t xml:space="preserve">Zuñiga et al. (2024)</w:t>
      </w:r>
      <w:r>
        <w:t xml:space="preserve">.</w:t>
      </w:r>
    </w:p>
    <w:p>
      <w:pPr>
        <w:pStyle w:val="TextBody"/>
      </w:pPr>
      <w:r>
        <w:drawing>
          <wp:inline>
            <wp:extent cx="4587290" cy="4587290"/>
            <wp:effectExtent b="0" l="0" r="0" t="0"/>
            <wp:docPr descr="" title="" id="47" name="Picture"/>
            <a:graphic>
              <a:graphicData uri="http://schemas.openxmlformats.org/drawingml/2006/picture">
                <pic:pic>
                  <pic:nvPicPr>
                    <pic:cNvPr descr="report/run/S1/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b691aa6b-94fa-40a4-8a56-4da54aec0282"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691aa6b-94fa-40a4-8a56-4da54aec0282"/>
      <w:r>
        <w:t xml:space="preserve">: ane.27.9a stock. Weight at age by quarters.</w:t>
      </w:r>
    </w:p>
    <w:bookmarkEnd w:id="49"/>
    <w:bookmarkStart w:id="68" w:name="model-setting"/>
    <w:p>
      <w:pPr>
        <w:pStyle w:val="Heading3"/>
      </w:pPr>
      <w:r>
        <w:t xml:space="preserve">Model setting</w:t>
      </w:r>
    </w:p>
    <w:bookmarkStart w:id="53" w:name="natural-mortality"/>
    <w:p>
      <w:pPr>
        <w:pStyle w:val="Heading4"/>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(2024)</w:t>
      </w:r>
      <w:r>
        <w:t xml:space="preserve">.</w:t>
      </w:r>
    </w:p>
    <w:p>
      <w:pPr>
        <w:pStyle w:val="TextBody"/>
      </w:pPr>
      <w:r>
        <w:drawing>
          <wp:inline>
            <wp:extent cx="2881049" cy="592751"/>
            <wp:effectExtent b="0" l="0" r="0" t="0"/>
            <wp:docPr descr="" title="" id="51" name="Picture"/>
            <a:graphic>
              <a:graphicData uri="http://schemas.openxmlformats.org/drawingml/2006/picture">
                <pic:pic>
                  <pic:nvPicPr>
                    <pic:cNvPr descr="report/run/S1/tb_natM.png" id="52" name="Picture"/>
                    <pic:cNvPicPr>
                      <a:picLocks noChangeArrowheads="1" noChangeAspect="1"/>
                    </pic:cNvPicPr>
                  </pic:nvPicPr>
                  <pic:blipFill>
                    <a:blip r:embed="rId50"/>
                    <a:stretch>
                      <a:fillRect/>
                    </a:stretch>
                  </pic:blipFill>
                  <pic:spPr bwMode="auto">
                    <a:xfrm>
                      <a:off x="0" y="0"/>
                      <a:ext cx="2881049" cy="592751"/>
                    </a:xfrm>
                    <a:prstGeom prst="rect">
                      <a:avLst/>
                    </a:prstGeom>
                    <a:noFill/>
                    <a:ln w="9525">
                      <a:noFill/>
                      <a:headEnd/>
                      <a:tailEnd/>
                    </a:ln>
                  </pic:spPr>
                </pic:pic>
              </a:graphicData>
            </a:graphic>
          </wp:inline>
        </w:drawing>
      </w:r>
    </w:p>
    <w:bookmarkEnd w:id="53"/>
    <w:bookmarkStart w:id="57" w:name="maturity"/>
    <w:p>
      <w:pPr>
        <w:pStyle w:val="Heading4"/>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ICES 2024 and WD Rincón et al. (2024)</w:t>
      </w:r>
      <w:r>
        <w:t xml:space="preserve">.</w:t>
      </w:r>
    </w:p>
    <w:p>
      <w:pPr>
        <w:pStyle w:val="TextBody"/>
      </w:pPr>
      <w:r>
        <w:drawing>
          <wp:inline>
            <wp:extent cx="2881049" cy="624916"/>
            <wp:effectExtent b="0" l="0" r="0" t="0"/>
            <wp:docPr descr="" title="" id="55" name="Picture"/>
            <a:graphic>
              <a:graphicData uri="http://schemas.openxmlformats.org/drawingml/2006/picture">
                <pic:pic>
                  <pic:nvPicPr>
                    <pic:cNvPr descr="report/run/S1/tb_maturity.png" id="56" name="Picture"/>
                    <pic:cNvPicPr>
                      <a:picLocks noChangeArrowheads="1" noChangeAspect="1"/>
                    </pic:cNvPicPr>
                  </pic:nvPicPr>
                  <pic:blipFill>
                    <a:blip r:embed="rId54"/>
                    <a:stretch>
                      <a:fillRect/>
                    </a:stretch>
                  </pic:blipFill>
                  <pic:spPr bwMode="auto">
                    <a:xfrm>
                      <a:off x="0" y="0"/>
                      <a:ext cx="2881049" cy="624916"/>
                    </a:xfrm>
                    <a:prstGeom prst="rect">
                      <a:avLst/>
                    </a:prstGeom>
                    <a:noFill/>
                    <a:ln w="9525">
                      <a:noFill/>
                      <a:headEnd/>
                      <a:tailEnd/>
                    </a:ln>
                  </pic:spPr>
                </pic:pic>
              </a:graphicData>
            </a:graphic>
          </wp:inline>
        </w:drawing>
      </w:r>
    </w:p>
    <w:bookmarkEnd w:id="57"/>
    <w:bookmarkStart w:id="58" w:name="growth"/>
    <w:p>
      <w:pPr>
        <w:pStyle w:val="Heading4"/>
      </w:pPr>
      <w:r>
        <w:t xml:space="preserve">Growth</w:t>
      </w:r>
    </w:p>
    <w:p>
      <w:pPr>
        <w:pStyle w:val="FirstParagraph"/>
      </w:pPr>
      <w:r>
        <w:t xml:space="preserve">It is not modelled explicitly.</w:t>
      </w:r>
    </w:p>
    <w:bookmarkEnd w:id="58"/>
    <w:bookmarkStart w:id="59" w:name="recruitment"/>
    <w:p>
      <w:pPr>
        <w:pStyle w:val="Heading4"/>
      </w:pPr>
      <w:r>
        <w:t xml:space="preserve">Recruitment</w:t>
      </w:r>
    </w:p>
    <w:p>
      <w:pPr>
        <w:pStyle w:val="FirstParagraph"/>
      </w:pPr>
      <w:r>
        <w:t xml:space="preserve">Annual recruitments are defined as parameters and the functional relationship for the spawner-recruitment is such that steepness is ignored and there is no bias adjustment. Standard deviation of log number of recruits was set to 0.6.</w:t>
      </w:r>
    </w:p>
    <w:bookmarkEnd w:id="59"/>
    <w:bookmarkStart w:id="60" w:name="fishing-mortality"/>
    <w:p>
      <w:pPr>
        <w:pStyle w:val="Heading4"/>
      </w:pPr>
      <w:r>
        <w:t xml:space="preserve">Fishing mortality</w:t>
      </w:r>
    </w:p>
    <w:p>
      <w:pPr>
        <w:pStyle w:val="FirstParagraph"/>
      </w:pPr>
      <w:r>
        <w:t xml:space="preserve">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w:t>
      </w:r>
    </w:p>
    <w:bookmarkEnd w:id="60"/>
    <w:bookmarkStart w:id="61" w:name="catchability"/>
    <w:p>
      <w:pPr>
        <w:pStyle w:val="Heading4"/>
      </w:pPr>
      <w:r>
        <w:t xml:space="preserve">Catchability</w:t>
      </w:r>
    </w:p>
    <w:p>
      <w:pPr>
        <w:pStyle w:val="FirstParagraph"/>
      </w:pPr>
      <w:r>
        <w:t xml:space="preserve">All the surveys are assumed to be relative indices of abundance. The catchability are modelled with a simple</w:t>
      </w:r>
      <w:r>
        <w:t xml:space="preserve"> </w:t>
      </w:r>
      <m:oMath>
        <m:r>
          <m:t>q</m:t>
        </m:r>
      </m:oMath>
      <w:r>
        <w:t xml:space="preserve"> </w:t>
      </w:r>
      <w:r>
        <w:t xml:space="preserve">linear model.</w:t>
      </w:r>
    </w:p>
    <w:bookmarkEnd w:id="61"/>
    <w:bookmarkStart w:id="62" w:name="selectivity"/>
    <w:p>
      <w:pPr>
        <w:pStyle w:val="Heading4"/>
      </w:pPr>
      <w:r>
        <w:t xml:space="preserve">Selectivity</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bookmarkEnd w:id="62"/>
    <w:bookmarkStart w:id="63" w:name="data-weighting"/>
    <w:p>
      <w:pPr>
        <w:pStyle w:val="Heading4"/>
      </w:pPr>
      <w:r>
        <w:t xml:space="preserve">Data weighting</w:t>
      </w:r>
    </w:p>
    <w:p>
      <w:pPr>
        <w:pStyle w:val="FirstParagraph"/>
      </w:pPr>
      <w:r>
        <w:t xml:space="preserve">Coeficient of variation (CV): A standar error of 0.05 was assumed for all years of catches and 0.3 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 0.3 is assumed for all years for the DEPM index based on the uncertainty of the SSB estimates.</w:t>
      </w:r>
    </w:p>
    <w:p>
      <w:pPr>
        <w:pStyle w:val="TextBody"/>
      </w:pPr>
      <w:r>
        <w:t xml:space="preserve">Sample size (nm): The age composition were adjusted assumming a multinomial error structure with variance described by the sample size, set at 100 for both the commercial fleet and acoustic survey. The Francis method TA1.8</w:t>
      </w:r>
      <w:r>
        <w:t xml:space="preserve"> </w:t>
      </w:r>
      <w:r>
        <w:t xml:space="preserve">(Francis, 2011)</w:t>
      </w:r>
      <w:r>
        <w:t xml:space="preserve"> </w:t>
      </w:r>
      <w:r>
        <w:t xml:space="preserve">was selected for age data weighting in catches and surveys data.</w:t>
      </w:r>
    </w:p>
    <w:bookmarkEnd w:id="63"/>
    <w:bookmarkStart w:id="67" w:name="initial-population"/>
    <w:p>
      <w:pPr>
        <w:pStyle w:val="Heading4"/>
      </w:pPr>
      <w:r>
        <w:t xml:space="preserve">Initial population</w:t>
      </w:r>
    </w:p>
    <w:p>
      <w:pPr>
        <w:pStyle w:val="FirstParagraph"/>
      </w:pPr>
      <w:r>
        <w:t xml:space="preserve">It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 catch of 0 tonnes</w:t>
      </w:r>
      <w:r>
        <w:t xml:space="preserve"> </w:t>
      </w:r>
    </w:p>
    <w:p>
      <w:pPr>
        <w:pStyle w:val="TextBody"/>
      </w:pPr>
      <w:r>
        <w:t xml:space="preserve">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1.49.3</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4.4.1 (2024-06-14).</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85df684c-f1bf-4257-bc5f-04dadf47eb39"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5df684c-f1bf-4257-bc5f-04dadf47eb39"/>
      <w:r>
        <w:t xml:space="preserve">: ane.27.9a stock. Input data type, model assumptions and settings for the assessment with data series 1989-2023.</w:t>
      </w:r>
    </w:p>
    <w:p>
      <w:pPr>
        <w:pStyle w:val="TextBody"/>
      </w:pPr>
      <w:r>
        <w:drawing>
          <wp:inline>
            <wp:extent cx="5359400" cy="4382991"/>
            <wp:effectExtent b="0" l="0" r="0" t="0"/>
            <wp:docPr descr="" title="" id="65" name="Picture"/>
            <a:graphic>
              <a:graphicData uri="http://schemas.openxmlformats.org/drawingml/2006/picture">
                <pic:pic>
                  <pic:nvPicPr>
                    <pic:cNvPr descr="report/run/S1/tb_dat_stru.png" id="66" name="Picture"/>
                    <pic:cNvPicPr>
                      <a:picLocks noChangeArrowheads="1" noChangeAspect="1"/>
                    </pic:cNvPicPr>
                  </pic:nvPicPr>
                  <pic:blipFill>
                    <a:blip r:embed="rId64"/>
                    <a:stretch>
                      <a:fillRect/>
                    </a:stretch>
                  </pic:blipFill>
                  <pic:spPr bwMode="auto">
                    <a:xfrm>
                      <a:off x="0" y="0"/>
                      <a:ext cx="5359400" cy="4382991"/>
                    </a:xfrm>
                    <a:prstGeom prst="rect">
                      <a:avLst/>
                    </a:prstGeom>
                    <a:noFill/>
                    <a:ln w="9525">
                      <a:noFill/>
                      <a:headEnd/>
                      <a:tailEnd/>
                    </a:ln>
                  </pic:spPr>
                </pic:pic>
              </a:graphicData>
            </a:graphic>
          </wp:inline>
        </w:drawing>
      </w:r>
    </w:p>
    <w:p>
      <w:r>
        <w:br w:type="page"/>
      </w:r>
    </w:p>
    <w:bookmarkEnd w:id="67"/>
    <w:bookmarkEnd w:id="68"/>
    <w:bookmarkEnd w:id="69"/>
    <w:bookmarkStart w:id="108"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0.000055. The</w:t>
      </w:r>
      <w:r>
        <w:t xml:space="preserve"> </w:t>
      </w:r>
      <w:r>
        <w:t xml:space="preserve">“</w:t>
      </w:r>
      <w:r>
        <w:t xml:space="preserve">Status</w:t>
      </w:r>
      <w:r>
        <w:t xml:space="preserve">”</w:t>
      </w:r>
      <w:r>
        <w:t xml:space="preserve"> </w:t>
      </w:r>
      <w:r>
        <w:t xml:space="preserve">column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tb_params_est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initial model configuration has allowed for adequate optimization of the parameters. Additionally, the gradient for all parameters is relatively small. It is important to note that the bounds imposed on the initial parameters have not restricted the search for optimized values, as reflected in the</w:t>
      </w:r>
      <w:r>
        <w:t xml:space="preserve"> </w:t>
      </w:r>
      <w:r>
        <w:t xml:space="preserve">“</w:t>
      </w:r>
      <w:r>
        <w:t xml:space="preserve">Afterbound</w:t>
      </w:r>
      <w:r>
        <w:t xml:space="preserve">”</w:t>
      </w:r>
      <w:r>
        <w:t xml:space="preserve"> </w:t>
      </w:r>
      <w:r>
        <w:t xml:space="preserve">column.</w:t>
      </w:r>
    </w:p>
    <w:p>
      <w:pPr>
        <w:pStyle w:val="TextBody"/>
      </w:pPr>
      <w:r>
        <w:t xml:space="preserve">Table</w:t>
      </w:r>
      <w:r>
        <w:t xml:space="preserve"> </w:t>
      </w:r>
      <w:bookmarkStart w:id="181129dc-786b-4975-9baa-3c22d3476d7d" w:name="tb_params_es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81129dc-786b-4975-9baa-3c22d3476d7d"/>
      <w:r>
        <w:t xml:space="preserve">: ane.27.9a stock. Parameters estimated by the initial base model.</w:t>
      </w:r>
    </w:p>
    <w:p>
      <w:pPr>
        <w:pStyle w:val="TextBody"/>
      </w:pPr>
      <w:r>
        <w:drawing>
          <wp:inline>
            <wp:extent cx="5359400" cy="1733079"/>
            <wp:effectExtent b="0" l="0" r="0" t="0"/>
            <wp:docPr descr="" title="" id="71" name="Picture"/>
            <a:graphic>
              <a:graphicData uri="http://schemas.openxmlformats.org/drawingml/2006/picture">
                <pic:pic>
                  <pic:nvPicPr>
                    <pic:cNvPr descr="report/run/S1/tb_params_est.png" id="72" name="Picture"/>
                    <pic:cNvPicPr>
                      <a:picLocks noChangeArrowheads="1" noChangeAspect="1"/>
                    </pic:cNvPicPr>
                  </pic:nvPicPr>
                  <pic:blipFill>
                    <a:blip r:embed="rId70"/>
                    <a:stretch>
                      <a:fillRect/>
                    </a:stretch>
                  </pic:blipFill>
                  <pic:spPr bwMode="auto">
                    <a:xfrm>
                      <a:off x="0" y="0"/>
                      <a:ext cx="5359400" cy="1733079"/>
                    </a:xfrm>
                    <a:prstGeom prst="rect">
                      <a:avLst/>
                    </a:prstGeom>
                    <a:noFill/>
                    <a:ln w="9525">
                      <a:noFill/>
                      <a:headEnd/>
                      <a:tailEnd/>
                    </a:ln>
                  </pic:spPr>
                </pic:pic>
              </a:graphicData>
            </a:graphic>
          </wp:inline>
        </w:drawing>
      </w:r>
    </w:p>
    <w:bookmarkStart w:id="103"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74" name="Picture"/>
            <a:graphic>
              <a:graphicData uri="http://schemas.openxmlformats.org/drawingml/2006/picture">
                <pic:pic>
                  <pic:nvPicPr>
                    <pic:cNvPr descr="report/run/S1/fig_indices_fit.png" id="75" name="Picture"/>
                    <pic:cNvPicPr>
                      <a:picLocks noChangeArrowheads="1" noChangeAspect="1"/>
                    </pic:cNvPicPr>
                  </pic:nvPicPr>
                  <pic:blipFill>
                    <a:blip r:embed="rId7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a4a62a2-4ee7-4763-ad5a-2352efab9657"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a4a62a2-4ee7-4763-ad5a-2352efab9657"/>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0.415,</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40.9%.</w:t>
      </w:r>
    </w:p>
    <w:p>
      <w:pPr>
        <w:pStyle w:val="TextBody"/>
      </w:pPr>
      <w:r>
        <w:drawing>
          <wp:inline>
            <wp:extent cx="5359400" cy="5359400"/>
            <wp:effectExtent b="0" l="0" r="0" t="0"/>
            <wp:docPr descr="" title="" id="77" name="Picture"/>
            <a:graphic>
              <a:graphicData uri="http://schemas.openxmlformats.org/drawingml/2006/picture">
                <pic:pic>
                  <pic:nvPicPr>
                    <pic:cNvPr descr="report/run/S1/fig_runtest_residuals_indices.png" id="78" name="Picture"/>
                    <pic:cNvPicPr>
                      <a:picLocks noChangeArrowheads="1" noChangeAspect="1"/>
                    </pic:cNvPicPr>
                  </pic:nvPicPr>
                  <pic:blipFill>
                    <a:blip r:embed="rId7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de45c44-e391-4278-a3c2-9a2160e57deb"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de45c44-e391-4278-a3c2-9a2160e57deb"/>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c3c46eb6-9715-459a-a7df-06099b5fa421"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3c46eb6-9715-459a-a7df-06099b5fa421"/>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80" name="Picture"/>
            <a:graphic>
              <a:graphicData uri="http://schemas.openxmlformats.org/drawingml/2006/picture">
                <pic:pic>
                  <pic:nvPicPr>
                    <pic:cNvPr descr="Report_SS3_quarter_with_age_data_files/figure-docx/unnamed-chunk-16-1.png" id="81" name="Picture"/>
                    <pic:cNvPicPr>
                      <a:picLocks noChangeArrowheads="1" noChangeAspect="1"/>
                    </pic:cNvPicPr>
                  </pic:nvPicPr>
                  <pic:blipFill>
                    <a:blip r:embed="rId79"/>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d10f572b-2195-4907-9d28-491a9c350bc2"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10f572b-2195-4907-9d28-491a9c350bc2"/>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83" name="Picture"/>
            <a:graphic>
              <a:graphicData uri="http://schemas.openxmlformats.org/drawingml/2006/picture">
                <pic:pic>
                  <pic:nvPicPr>
                    <pic:cNvPr descr="report/run/S1/fig_age_fit_agg.png" id="84" name="Picture"/>
                    <pic:cNvPicPr>
                      <a:picLocks noChangeArrowheads="1" noChangeAspect="1"/>
                    </pic:cNvPicPr>
                  </pic:nvPicPr>
                  <pic:blipFill>
                    <a:blip r:embed="rId8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10c85c48-bba5-4a97-bbc9-075f02c0cf60"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0c85c48-bba5-4a97-bbc9-075f02c0cf60"/>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86" name="Picture"/>
            <a:graphic>
              <a:graphicData uri="http://schemas.openxmlformats.org/drawingml/2006/picture">
                <pic:pic>
                  <pic:nvPicPr>
                    <pic:cNvPr descr="report/run/S1/fig_age_fit_Seine.png" id="87" name="Picture"/>
                    <pic:cNvPicPr>
                      <a:picLocks noChangeArrowheads="1" noChangeAspect="1"/>
                    </pic:cNvPicPr>
                  </pic:nvPicPr>
                  <pic:blipFill>
                    <a:blip r:embed="rId85"/>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77cee60e-be43-48e4-91ab-cd9d61436ae5"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7cee60e-be43-48e4-91ab-cd9d61436ae5"/>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89" name="Picture"/>
            <a:graphic>
              <a:graphicData uri="http://schemas.openxmlformats.org/drawingml/2006/picture">
                <pic:pic>
                  <pic:nvPicPr>
                    <pic:cNvPr descr="report/run/S1/fig_age_fit_Pelago.png" id="90" name="Picture"/>
                    <pic:cNvPicPr>
                      <a:picLocks noChangeArrowheads="1" noChangeAspect="1"/>
                    </pic:cNvPicPr>
                  </pic:nvPicPr>
                  <pic:blipFill>
                    <a:blip r:embed="rId8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dbee4bf3-d2da-4b1e-87f4-c4606ab12a3d"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bee4bf3-d2da-4b1e-87f4-c4606ab12a3d"/>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92" name="Picture"/>
            <a:graphic>
              <a:graphicData uri="http://schemas.openxmlformats.org/drawingml/2006/picture">
                <pic:pic>
                  <pic:nvPicPr>
                    <pic:cNvPr descr="report/run/S1/fig_age_fit_Ecocadiz.png" id="93" name="Picture"/>
                    <pic:cNvPicPr>
                      <a:picLocks noChangeArrowheads="1" noChangeAspect="1"/>
                    </pic:cNvPicPr>
                  </pic:nvPicPr>
                  <pic:blipFill>
                    <a:blip r:embed="rId9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9684df6-cc40-4dc1-8f2c-5f2e40721177"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9684df6-cc40-4dc1-8f2c-5f2e40721177"/>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95" name="Picture"/>
            <a:graphic>
              <a:graphicData uri="http://schemas.openxmlformats.org/drawingml/2006/picture">
                <pic:pic>
                  <pic:nvPicPr>
                    <pic:cNvPr descr="report/run/S1/fig_age_fit_EcocadizRecl.png" id="96" name="Picture"/>
                    <pic:cNvPicPr>
                      <a:picLocks noChangeArrowheads="1" noChangeAspect="1"/>
                    </pic:cNvPicPr>
                  </pic:nvPicPr>
                  <pic:blipFill>
                    <a:blip r:embed="rId94"/>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93b37ca-03d4-49ab-9b31-a39cafbfb22e"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3b37ca-03d4-49ab-9b31-a39cafbfb22e"/>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8" name="Picture"/>
            <a:graphic>
              <a:graphicData uri="http://schemas.openxmlformats.org/drawingml/2006/picture">
                <pic:pic>
                  <pic:nvPicPr>
                    <pic:cNvPr descr="report/run/S1/fig_comp_agefit_multi-fleet_comparison.png" id="99" name="Picture"/>
                    <pic:cNvPicPr>
                      <a:picLocks noChangeArrowheads="1" noChangeAspect="1"/>
                    </pic:cNvPicPr>
                  </pic:nvPicPr>
                  <pic:blipFill>
                    <a:blip r:embed="rId9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4f17ea0-8967-467e-95c1-22c1d169df43"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4f17ea0-8967-467e-95c1-22c1d169df43"/>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0.985) and the acoustic surveys (</w:t>
      </w:r>
      <w:r>
        <w:rPr>
          <w:iCs/>
          <w:i/>
        </w:rPr>
        <w:t xml:space="preserve">PELAGO</w:t>
      </w:r>
      <w:r>
        <w:t xml:space="preserve"> </w:t>
      </w:r>
      <w:r>
        <w:t xml:space="preserve">= 0.744,</w:t>
      </w:r>
      <w:r>
        <w:t xml:space="preserve"> </w:t>
      </w:r>
      <w:r>
        <w:rPr>
          <w:iCs/>
          <w:i/>
        </w:rPr>
        <w:t xml:space="preserve">ECOCADIZ-RECLUTAS</w:t>
      </w:r>
      <w:r>
        <w:t xml:space="preserve"> </w:t>
      </w:r>
      <w:r>
        <w:t xml:space="preserve">= 0.207).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37.4%.</w:t>
      </w:r>
    </w:p>
    <w:p>
      <w:pPr>
        <w:pStyle w:val="TextBody"/>
      </w:pPr>
      <w:r>
        <w:drawing>
          <wp:inline>
            <wp:extent cx="5359400" cy="5359400"/>
            <wp:effectExtent b="0" l="0" r="0" t="0"/>
            <wp:docPr descr="" title="" id="101" name="Picture"/>
            <a:graphic>
              <a:graphicData uri="http://schemas.openxmlformats.org/drawingml/2006/picture">
                <pic:pic>
                  <pic:nvPicPr>
                    <pic:cNvPr descr="report/run/S1/fig_runtest_residuals_age.png" id="102" name="Picture"/>
                    <pic:cNvPicPr>
                      <a:picLocks noChangeArrowheads="1" noChangeAspect="1"/>
                    </pic:cNvPicPr>
                  </pic:nvPicPr>
                  <pic:blipFill>
                    <a:blip r:embed="rId10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f7c86810-58a6-479e-ab17-5cb452a06316"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7c86810-58a6-479e-ab17-5cb452a06316"/>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103"/>
    <w:bookmarkStart w:id="107"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-0.1692369) and overestimation in spawning biomass (rho = 0.140914).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105" name="Picture"/>
            <a:graphic>
              <a:graphicData uri="http://schemas.openxmlformats.org/drawingml/2006/picture">
                <pic:pic>
                  <pic:nvPicPr>
                    <pic:cNvPr descr="report/retro/S1/Retro.png" id="106" name="Picture"/>
                    <pic:cNvPicPr>
                      <a:picLocks noChangeArrowheads="1" noChangeAspect="1"/>
                    </pic:cNvPicPr>
                  </pic:nvPicPr>
                  <pic:blipFill>
                    <a:blip r:embed="rId104"/>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d58ae87e-7b71-4755-8b87-aad84fd09284"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58ae87e-7b71-4755-8b87-aad84fd09284"/>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07"/>
    <w:bookmarkEnd w:id="108"/>
    <w:bookmarkStart w:id="115"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10 thousand tonnes, with a minimum in 2010 of 5.61 thousand tonnes and a maximum recorded in 2001 of 17.1 thousand tonnes. In 2023, the biomass is estimated to be 1% below the historical mean. The catch shows variability around the historical mean of 5.22 thousand tonnes, with a maximum value recorded in 1998 of 9.57 thousand tonnes and a minimum in 1995 of 0.57 thousand tonnes. In 2023, the catch is estimated to be 41% above the historical mean.</w:t>
      </w:r>
    </w:p>
    <w:p>
      <w:pPr>
        <w:pStyle w:val="TextBody"/>
      </w:pPr>
      <w:r>
        <w:t xml:space="preserve">The fishing mortality (</w:t>
      </w:r>
      <w:r>
        <w:rPr>
          <w:rStyle w:val="VerbatimChar"/>
        </w:rPr>
        <w:t xml:space="preserve">Ft</w:t>
      </w:r>
      <w:r>
        <w:t xml:space="preserve">) shows variability around the historical mean of 1.13, with a maximum value recorded in 2015 of 2.07 and a minimum in 1995 of 0.14. Confidence intervals range from 0.26 to 0.01, with an average of 0.14. In 2023, the</w:t>
      </w:r>
      <w:r>
        <w:t xml:space="preserve"> </w:t>
      </w:r>
      <w:r>
        <w:rPr>
          <w:rStyle w:val="VerbatimChar"/>
        </w:rPr>
        <w:t xml:space="preserve">Ft</w:t>
      </w:r>
      <w:r>
        <w:t xml:space="preserve"> </w:t>
      </w:r>
      <w:r>
        <w:t xml:space="preserve">is estimated to be 81% above the historical mean.</w:t>
      </w:r>
    </w:p>
    <w:p>
      <w:pPr>
        <w:pStyle w:val="TextBody"/>
      </w:pPr>
      <w:r>
        <w:t xml:space="preserve">The recruitment (</w:t>
      </w:r>
      <w:r>
        <w:rPr>
          <w:rStyle w:val="VerbatimChar"/>
        </w:rPr>
        <w:t xml:space="preserve">Rt</w:t>
      </w:r>
      <w:r>
        <w:t xml:space="preserve">) fluctuates around a historical mean of 4.5 millions recruits, with a maximum value recorded in 1997 of 7.72 millions recruits and a minimum in 2009 of 1.77 millions recruits. Confidence intervals range from 0.3 to 0.04, with an average of 0.12. In 2023, the</w:t>
      </w:r>
      <w:r>
        <w:t xml:space="preserve"> </w:t>
      </w:r>
      <w:r>
        <w:rPr>
          <w:rStyle w:val="VerbatimChar"/>
        </w:rPr>
        <w:t xml:space="preserve">Rt</w:t>
      </w:r>
      <w:r>
        <w:t xml:space="preserve"> </w:t>
      </w:r>
      <w:r>
        <w:t xml:space="preserve">is estimated to be 4% below the historical mean.</w:t>
      </w:r>
    </w:p>
    <w:p>
      <w:pPr>
        <w:pStyle w:val="TextBody"/>
      </w:pPr>
      <w:r>
        <w:t xml:space="preserve">Finally, the spawning biomass (SSB) varies around a historical mean of 7.97 thousand tonnes, with a maximum value recorded in 2001 of 15.01 thousand tonnes and a minimum in 2010 of 4.19 thousand tonnes. Confidence intervals range from 0.28 to 0.04, with an average of 0.12.In 2023, the</w:t>
      </w:r>
      <w:r>
        <w:t xml:space="preserve"> </w:t>
      </w:r>
      <w:r>
        <w:rPr>
          <w:rStyle w:val="VerbatimChar"/>
        </w:rPr>
        <w:t xml:space="preserve">SSB</w:t>
      </w:r>
      <w:r>
        <w:t xml:space="preserve"> </w:t>
      </w:r>
      <w:r>
        <w:t xml:space="preserve">is estimated to be 3%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110" name="Picture"/>
            <a:graphic>
              <a:graphicData uri="http://schemas.openxmlformats.org/drawingml/2006/picture">
                <pic:pic>
                  <pic:nvPicPr>
                    <pic:cNvPr descr="report/run/S1/fig_time_series.png" id="111" name="Picture"/>
                    <pic:cNvPicPr>
                      <a:picLocks noChangeArrowheads="1" noChangeAspect="1"/>
                    </pic:cNvPicPr>
                  </pic:nvPicPr>
                  <pic:blipFill>
                    <a:blip r:embed="rId109"/>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5694bc61-0026-4d68-b69a-3b587bd3ab74"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694bc61-0026-4d68-b69a-3b587bd3ab74"/>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c480cd5b-2970-4ce1-952a-01242896bf09"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480cd5b-2970-4ce1-952a-01242896bf09"/>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13" name="Picture"/>
            <a:graphic>
              <a:graphicData uri="http://schemas.openxmlformats.org/drawingml/2006/picture">
                <pic:pic>
                  <pic:nvPicPr>
                    <pic:cNvPr descr="report/run/S1/tb_timeseries.png" id="114" name="Picture"/>
                    <pic:cNvPicPr>
                      <a:picLocks noChangeArrowheads="1" noChangeAspect="1"/>
                    </pic:cNvPicPr>
                  </pic:nvPicPr>
                  <pic:blipFill>
                    <a:blip r:embed="rId112"/>
                    <a:stretch>
                      <a:fillRect/>
                    </a:stretch>
                  </pic:blipFill>
                  <pic:spPr bwMode="auto">
                    <a:xfrm>
                      <a:off x="0" y="0"/>
                      <a:ext cx="5359400" cy="5721706"/>
                    </a:xfrm>
                    <a:prstGeom prst="rect">
                      <a:avLst/>
                    </a:prstGeom>
                    <a:noFill/>
                    <a:ln w="9525">
                      <a:noFill/>
                      <a:headEnd/>
                      <a:tailEnd/>
                    </a:ln>
                  </pic:spPr>
                </pic:pic>
              </a:graphicData>
            </a:graphic>
          </wp:inline>
        </w:drawing>
      </w:r>
    </w:p>
    <w:bookmarkEnd w:id="115"/>
    <w:bookmarkStart w:id="119" w:name="selectivity-1"/>
    <w:p>
      <w:pPr>
        <w:pStyle w:val="Heading2"/>
      </w:pPr>
      <w:r>
        <w:t xml:space="preserve">Selectivity</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fig_age_selectivity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estimated selectivity for the age composition of the commercial fleet and acoustic surveys (logistic-shaped fixed selectivity across all years).</w:t>
      </w:r>
    </w:p>
    <w:p>
      <w:pPr>
        <w:pStyle w:val="TextBody"/>
      </w:pPr>
      <w:r>
        <w:drawing>
          <wp:inline>
            <wp:extent cx="5359400" cy="3062514"/>
            <wp:effectExtent b="0" l="0" r="0" t="0"/>
            <wp:docPr descr="" title="" id="117" name="Picture"/>
            <a:graphic>
              <a:graphicData uri="http://schemas.openxmlformats.org/drawingml/2006/picture">
                <pic:pic>
                  <pic:nvPicPr>
                    <pic:cNvPr descr="Report_SS3_quarter_with_age_data_files/figure-docx/unnamed-chunk-27-1.png" id="118" name="Picture"/>
                    <pic:cNvPicPr>
                      <a:picLocks noChangeArrowheads="1" noChangeAspect="1"/>
                    </pic:cNvPicPr>
                  </pic:nvPicPr>
                  <pic:blipFill>
                    <a:blip r:embed="rId116"/>
                    <a:stretch>
                      <a:fillRect/>
                    </a:stretch>
                  </pic:blipFill>
                  <pic:spPr bwMode="auto">
                    <a:xfrm>
                      <a:off x="0" y="0"/>
                      <a:ext cx="5359400" cy="3062514"/>
                    </a:xfrm>
                    <a:prstGeom prst="rect">
                      <a:avLst/>
                    </a:prstGeom>
                    <a:noFill/>
                    <a:ln w="9525">
                      <a:noFill/>
                      <a:headEnd/>
                      <a:tailEnd/>
                    </a:ln>
                  </pic:spPr>
                </pic:pic>
              </a:graphicData>
            </a:graphic>
          </wp:inline>
        </w:drawing>
      </w:r>
    </w:p>
    <w:p>
      <w:pPr>
        <w:pStyle w:val="TextBody"/>
      </w:pPr>
      <w:r>
        <w:t xml:space="preserve">Figure</w:t>
      </w:r>
      <w:r>
        <w:t xml:space="preserve"> </w:t>
      </w:r>
      <w:bookmarkStart w:id="88147011-95e3-4ad0-9be0-09c8a1753188" w:name="fig_age_selectiv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8147011-95e3-4ad0-9be0-09c8a1753188"/>
      <w:r>
        <w:t xml:space="preserve">: ane.27.9a stock.Estimated selectivity for catch-at-age (logistic shaped fixed selectivity across all years).</w:t>
      </w:r>
    </w:p>
    <w:bookmarkEnd w:id="119"/>
    <w:bookmarkStart w:id="123" w:name="catchability-1"/>
    <w:p>
      <w:pPr>
        <w:pStyle w:val="Heading2"/>
      </w:pPr>
      <w:r>
        <w:t xml:space="preserve">Catchability</w:t>
      </w:r>
    </w:p>
    <w:p>
      <w:pPr>
        <w:pStyle w:val="FirstParagraph"/>
      </w:pPr>
      <w:r>
        <w:t xml:space="preserve">The catchability (q) is adjusted to maintain a consistent relationship between the observed biomass and the vulnerable biomass in acoustic surveys. As vulnerable biomass decreases throughout the year, catchability increases, indicating that efforts intensify when the vulnerable biomass is lower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fig_catchability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w:t>
      </w:r>
    </w:p>
    <w:p>
      <w:pPr>
        <w:pStyle w:val="TextBody"/>
      </w:pPr>
      <w:r>
        <w:drawing>
          <wp:inline>
            <wp:extent cx="4587290" cy="4587290"/>
            <wp:effectExtent b="0" l="0" r="0" t="0"/>
            <wp:docPr descr="" title="" id="121" name="Picture"/>
            <a:graphic>
              <a:graphicData uri="http://schemas.openxmlformats.org/drawingml/2006/picture">
                <pic:pic>
                  <pic:nvPicPr>
                    <pic:cNvPr descr="report/run/S1/fig_catchability.png" id="122" name="Picture"/>
                    <pic:cNvPicPr>
                      <a:picLocks noChangeArrowheads="1" noChangeAspect="1"/>
                    </pic:cNvPicPr>
                  </pic:nvPicPr>
                  <pic:blipFill>
                    <a:blip r:embed="rId120"/>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851bd258-0253-46ad-93f2-af6abaf2fbc6" w:name="fig_catchabil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51bd258-0253-46ad-93f2-af6abaf2fbc6"/>
      <w:r>
        <w:t xml:space="preserve">: ane.27.9a stock. Estimated catchability parameters for the different surveys indices.</w:t>
      </w:r>
    </w:p>
    <w:p>
      <w:r>
        <w:br w:type="page"/>
      </w:r>
    </w:p>
    <w:bookmarkEnd w:id="123"/>
    <w:bookmarkStart w:id="124"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24"/>
    <w:bookmarkStart w:id="138" w:name="references"/>
    <w:p>
      <w:pPr>
        <w:pStyle w:val="Heading2"/>
      </w:pPr>
      <w:r>
        <w:t xml:space="preserve">References</w:t>
      </w:r>
    </w:p>
    <w:bookmarkStart w:id="137" w:name="refs"/>
    <w:bookmarkStart w:id="126"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25">
        <w:r>
          <w:rPr>
            <w:rStyle w:val="InternetLink"/>
          </w:rPr>
          <w:t xml:space="preserve">https://www.sciencedirect.com/science/article/pii/S0165783621000874</w:t>
        </w:r>
      </w:hyperlink>
      <w:r>
        <w:t xml:space="preserve">.</w:t>
      </w:r>
    </w:p>
    <w:bookmarkEnd w:id="126"/>
    <w:bookmarkStart w:id="128" w:name="ref-Francis2011"/>
    <w:p>
      <w:pPr>
        <w:pStyle w:val="Bibliography"/>
      </w:pPr>
      <w:r>
        <w:t xml:space="preserve">Francis, R. I. C. C. 2011. Data weighting in statistical fisheries stock assessment models. Canadian Journal of Fisheries and Aquatic Sciences, 68: 1124–1138.</w:t>
      </w:r>
      <w:hyperlink r:id="rId127">
        <w:r>
          <w:rPr>
            <w:rStyle w:val="InternetLink"/>
          </w:rPr>
          <w:t xml:space="preserve"> </w:t>
        </w:r>
        <w:r>
          <w:rPr>
            <w:rStyle w:val="InternetLink"/>
          </w:rPr>
          <w:t xml:space="preserve">https://doi.org/10.1139/f2011-025</w:t>
        </w:r>
      </w:hyperlink>
      <w:r>
        <w:t xml:space="preserve">.</w:t>
      </w:r>
    </w:p>
    <w:bookmarkEnd w:id="128"/>
    <w:bookmarkStart w:id="130"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29">
        <w:r>
          <w:rPr>
            <w:rStyle w:val="InternetLink"/>
          </w:rPr>
          <w:t xml:space="preserve">https://doi.org/10.1093/icesjms/fsu198</w:t>
        </w:r>
      </w:hyperlink>
      <w:r>
        <w:t xml:space="preserve">.</w:t>
      </w:r>
    </w:p>
    <w:bookmarkEnd w:id="130"/>
    <w:bookmarkStart w:id="132"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31">
        <w:r>
          <w:rPr>
            <w:rStyle w:val="InternetLink"/>
          </w:rPr>
          <w:t xml:space="preserve">https://doi.org/10.1016/j.fishres.2012.10.012</w:t>
        </w:r>
      </w:hyperlink>
      <w:r>
        <w:t xml:space="preserve">.</w:t>
      </w:r>
    </w:p>
    <w:bookmarkEnd w:id="132"/>
    <w:bookmarkStart w:id="134" w:name="ref-Methot2024"/>
    <w:p>
      <w:pPr>
        <w:pStyle w:val="Bibliography"/>
      </w:pPr>
      <w:r>
        <w:t xml:space="preserve">Methot, R. D., Wetzel, C. R., Taylor, I. G., Doering, K., Perl, E., and K. Johnson. 2024. Stock synthesis user manual : Version 3.30.22.1.</w:t>
      </w:r>
      <w:r>
        <w:t xml:space="preserve"> </w:t>
      </w:r>
      <w:hyperlink r:id="rId133">
        <w:r>
          <w:rPr>
            <w:rStyle w:val="InternetLink"/>
          </w:rPr>
          <w:t xml:space="preserve">https://github.com/nmfs-ost/ss3-source-code/releases</w:t>
        </w:r>
      </w:hyperlink>
      <w:r>
        <w:t xml:space="preserve">.</w:t>
      </w:r>
    </w:p>
    <w:bookmarkEnd w:id="134"/>
    <w:bookmarkStart w:id="136"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35">
        <w:r>
          <w:rPr>
            <w:rStyle w:val="InternetLink"/>
          </w:rPr>
          <w:t xml:space="preserve">https://doi.org/10.1016/j.fishres.2021.105924</w:t>
        </w:r>
      </w:hyperlink>
      <w:r>
        <w:t xml:space="preserve">.</w:t>
      </w:r>
    </w:p>
    <w:bookmarkEnd w:id="136"/>
    <w:bookmarkEnd w:id="137"/>
    <w:bookmarkEnd w:id="138"/>
    <w:bookmarkEnd w:id="13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79" Target="media/rId79.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32" Target="media/rId32.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120" Target="media/rId120.png" /><Relationship Type="http://schemas.openxmlformats.org/officeDocument/2006/relationships/image" Id="rId25" Target="media/rId25.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22" Target="media/rId22.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112" Target="media/rId112.png" /><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2024-09-18T12:03:33Z</dcterms:created>
  <dcterms:modified xsi:type="dcterms:W3CDTF">2024-09-18T12:03:33Z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